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097095EF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C7C08">
              <w:rPr>
                <w:rFonts w:ascii="Times New Roman" w:hAnsi="Times New Roman"/>
                <w:sz w:val="24"/>
                <w:szCs w:val="24"/>
              </w:rPr>
              <w:t>МОУ-С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="004C7C08">
              <w:rPr>
                <w:rFonts w:ascii="Times New Roman" w:hAnsi="Times New Roman"/>
                <w:sz w:val="24"/>
                <w:szCs w:val="24"/>
              </w:rPr>
              <w:t>с. Приволжское</w:t>
            </w:r>
          </w:p>
          <w:p w14:paraId="229EDA94" w14:textId="4C403A15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4C7C08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="004C7C08">
              <w:rPr>
                <w:rFonts w:ascii="Times New Roman" w:hAnsi="Times New Roman"/>
                <w:sz w:val="24"/>
                <w:szCs w:val="24"/>
              </w:rPr>
              <w:t>Шашлова</w:t>
            </w:r>
            <w:proofErr w:type="spellEnd"/>
          </w:p>
          <w:p w14:paraId="451CE648" w14:textId="753DE3F4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30.08.2022</w:t>
            </w:r>
            <w:r w:rsidR="004C7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4D579572" w:rsidR="00940AEE" w:rsidRDefault="004C7C08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МОУ-СОШ с. Приволжское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00E2CBA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4C7C08">
        <w:t xml:space="preserve">МОУ-СОШ с. Приволжский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6BE7F58B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4C7C08">
        <w:t>МОУ-СОШ с. Приволжское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634945C1" w:rsidR="003766FF" w:rsidRPr="00C92200" w:rsidRDefault="003766FF" w:rsidP="004C7C08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4C7C08" w:rsidRPr="004C7C08">
        <w:rPr>
          <w:sz w:val="24"/>
          <w:szCs w:val="24"/>
        </w:rPr>
        <w:t>https://privolghe-r64.gosuslugi.ru/</w:t>
      </w:r>
      <w:r w:rsidR="004C7C08">
        <w:rPr>
          <w:sz w:val="24"/>
          <w:szCs w:val="24"/>
        </w:rPr>
        <w:t>)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3A0E91E8" w14:textId="0D05E305" w:rsidR="005871CC" w:rsidRPr="00C92200" w:rsidRDefault="004C7C08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5871CC"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A2"/>
    <w:rsid w:val="003067A7"/>
    <w:rsid w:val="003337A2"/>
    <w:rsid w:val="003766FF"/>
    <w:rsid w:val="0043534B"/>
    <w:rsid w:val="004C2985"/>
    <w:rsid w:val="004C7C08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B59002AB-6E7F-4105-B32B-F27FC540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~</cp:lastModifiedBy>
  <cp:revision>2</cp:revision>
  <dcterms:created xsi:type="dcterms:W3CDTF">2023-10-07T15:40:00Z</dcterms:created>
  <dcterms:modified xsi:type="dcterms:W3CDTF">2023-10-07T15:40:00Z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